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6E43E2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TOCHeading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615C2D56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هـ. </w:t>
            </w:r>
            <w:r w:rsidR="00FD6B33">
              <w:rPr>
                <w:rStyle w:val="Hyperlink"/>
                <w:rFonts w:hint="cs"/>
                <w:color w:val="365F91" w:themeColor="accent1" w:themeShade="BF"/>
                <w:rtl/>
              </w:rPr>
              <w:t>ال</w:t>
            </w:r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هيئة التدريس</w:t>
            </w:r>
            <w:r w:rsidR="00FD6B33">
              <w:rPr>
                <w:rStyle w:val="Hyperlink"/>
                <w:rFonts w:hint="cs"/>
                <w:color w:val="365F91" w:themeColor="accent1" w:themeShade="BF"/>
                <w:rtl/>
              </w:rPr>
              <w:t>ية</w:t>
            </w:r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22DCC56E" w:rsidR="004D2058" w:rsidRPr="00773361" w:rsidRDefault="00CA1EE2" w:rsidP="00FD6B3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و. </w:t>
            </w:r>
            <w:r w:rsidR="00FD6B33">
              <w:rPr>
                <w:rStyle w:val="Hyperlink"/>
                <w:rFonts w:hint="cs"/>
                <w:color w:val="365F91" w:themeColor="accent1" w:themeShade="BF"/>
                <w:rtl/>
              </w:rPr>
              <w:t>ال</w:t>
            </w:r>
            <w:r w:rsidR="004D2058" w:rsidRPr="00773361">
              <w:rPr>
                <w:rStyle w:val="Hyperlink"/>
                <w:color w:val="365F91" w:themeColor="accent1" w:themeShade="BF"/>
                <w:rtl/>
              </w:rPr>
              <w:t>مصادر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56643267" w:rsidR="004D2058" w:rsidRPr="00773361" w:rsidRDefault="00CA1EE2" w:rsidP="00FD6B33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ز. إدارة </w:t>
            </w:r>
            <w:r w:rsidR="00FD6B33">
              <w:rPr>
                <w:rStyle w:val="Hyperlink"/>
                <w:rFonts w:hint="cs"/>
                <w:color w:val="365F91" w:themeColor="accent1" w:themeShade="BF"/>
                <w:rtl/>
              </w:rPr>
              <w:t xml:space="preserve">وحوكمة </w:t>
            </w:r>
            <w:r w:rsidR="004D2058" w:rsidRPr="00773361">
              <w:rPr>
                <w:rStyle w:val="Hyperlink"/>
                <w:color w:val="365F91" w:themeColor="accent1" w:themeShade="BF"/>
                <w:rtl/>
              </w:rPr>
              <w:t>البرنامج: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CA1EE2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TOC1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Heading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6EC0F6F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</w:t>
            </w:r>
            <w:r w:rsidR="00FD6B33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وظائف التي يتم تأهيل الطلاب لها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:</w:t>
            </w:r>
          </w:p>
          <w:p w14:paraId="5C2B734F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4E3AA4CC" w:rsidR="009701D2" w:rsidRPr="004D32AE" w:rsidRDefault="006B747F" w:rsidP="00FD6B33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2BF752DA" w:rsidR="009701D2" w:rsidRPr="004D32AE" w:rsidRDefault="006B747F" w:rsidP="00FD6B33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Heading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Heading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Heading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0803F0C1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  <w:r w:rsidR="009B011B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(إن وجدت)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43C737C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  <w:r w:rsidR="009B011B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(إن وجدت)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B25635B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  <w:r w:rsidR="009B011B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5525570B" w:rsidR="004D6E70" w:rsidRPr="004D32AE" w:rsidRDefault="004D6E70" w:rsidP="009B011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9B011B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(إن وجد)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29A62AEA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</w:t>
            </w:r>
            <w:r w:rsidR="00B200CB">
              <w:rPr>
                <w:rFonts w:hint="cs"/>
                <w:b/>
                <w:bCs/>
                <w:color w:val="244061" w:themeColor="accent1" w:themeShade="80"/>
                <w:rtl/>
              </w:rPr>
              <w:t>نواتج</w:t>
            </w:r>
            <w:r w:rsidR="00B200C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66C921AE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B200CB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نواتج</w:t>
            </w:r>
            <w:r w:rsidR="00B200C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4D1E05C6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</w:t>
            </w:r>
            <w:r w:rsidR="00192FFF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نواتج</w:t>
            </w:r>
            <w:r w:rsidR="00192FFF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2A3B25BD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مباشرة،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اكتساب الطلاب </w:t>
            </w:r>
            <w:r w:rsidR="00B200CB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نواتج</w:t>
            </w:r>
            <w:r w:rsidR="00B200C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Heading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24F06420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9B011B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176D0757" w:rsidR="005E2AF4" w:rsidRPr="004D32AE" w:rsidRDefault="002656CB" w:rsidP="009B011B">
      <w:pPr>
        <w:pStyle w:val="Heading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</w:t>
      </w:r>
      <w:r w:rsidR="00FD6B33">
        <w:rPr>
          <w:rFonts w:hint="cs"/>
          <w:rtl/>
          <w:lang w:bidi="ar-SA"/>
        </w:rPr>
        <w:t>الهيئة التدريسية والموظفون</w:t>
      </w:r>
      <w:r w:rsidR="000E01E8" w:rsidRPr="004D32AE">
        <w:rPr>
          <w:rFonts w:hint="cs"/>
          <w:rtl/>
        </w:rPr>
        <w:t>:</w:t>
      </w:r>
      <w:bookmarkEnd w:id="7"/>
    </w:p>
    <w:p w14:paraId="5E6695C5" w14:textId="77777777" w:rsidR="00B350B4" w:rsidRPr="004D32AE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Heading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797369B4" w:rsidR="00FD1169" w:rsidRPr="004D32AE" w:rsidRDefault="007B6B70" w:rsidP="00FD6B33">
      <w:pPr>
        <w:pStyle w:val="Heading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</w:t>
      </w:r>
      <w:r w:rsidR="00FD6B33">
        <w:rPr>
          <w:rFonts w:hint="cs"/>
          <w:rtl/>
        </w:rPr>
        <w:t>ال</w:t>
      </w:r>
      <w:r w:rsidR="00FD1169" w:rsidRPr="004D32AE">
        <w:rPr>
          <w:rFonts w:hint="cs"/>
          <w:rtl/>
        </w:rPr>
        <w:t xml:space="preserve">مصادر </w:t>
      </w:r>
      <w:r w:rsidR="006D0810" w:rsidRPr="004D32AE">
        <w:rPr>
          <w:rFonts w:hint="cs"/>
          <w:rtl/>
        </w:rPr>
        <w:t>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32743DD8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الكتب،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المراجع،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الإلكترونية، مواقع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51FC8374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المكتبات،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9B011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المعامل،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0E1C3F5D" w:rsidR="000110F3" w:rsidRPr="004D32AE" w:rsidRDefault="00F93B13" w:rsidP="009B011B">
      <w:pPr>
        <w:pStyle w:val="Heading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</w:t>
      </w:r>
      <w:r w:rsidR="00FD6B33">
        <w:rPr>
          <w:rFonts w:hint="cs"/>
          <w:rtl/>
        </w:rPr>
        <w:t>إدارة وحوكمة البرنامج</w:t>
      </w:r>
      <w:r w:rsidR="00034579" w:rsidRPr="004D32AE">
        <w:rPr>
          <w:rFonts w:hint="cs"/>
          <w:rtl/>
        </w:rPr>
        <w:t>:</w:t>
      </w:r>
      <w:bookmarkEnd w:id="9"/>
    </w:p>
    <w:p w14:paraId="1EE860C1" w14:textId="77777777" w:rsidR="007C2E77" w:rsidRPr="004D32AE" w:rsidRDefault="007C2E77" w:rsidP="009A581A">
      <w:pPr>
        <w:pStyle w:val="Heading2"/>
        <w:rPr>
          <w:color w:val="244061" w:themeColor="accent1" w:themeShade="80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Heading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Heading2"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Heading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C737500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9B011B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أخرى </w:t>
            </w:r>
            <w:r w:rsidR="009B011B" w:rsidRPr="009B011B">
              <w:rPr>
                <w:rFonts w:hint="cs"/>
                <w:color w:val="244061" w:themeColor="accent1" w:themeShade="80"/>
                <w:rtl/>
              </w:rPr>
              <w:t>(إن وجدت).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BD5E1B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9B011B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9B011B" w:rsidRPr="009B011B">
              <w:rPr>
                <w:rFonts w:hint="cs"/>
                <w:color w:val="244061" w:themeColor="accent1" w:themeShade="80"/>
                <w:rtl/>
              </w:rPr>
              <w:t>(إن وجدت).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6F173F4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B200CB">
        <w:rPr>
          <w:rFonts w:hint="cs"/>
          <w:b/>
          <w:bCs/>
          <w:color w:val="244061" w:themeColor="accent1" w:themeShade="80"/>
          <w:rtl/>
          <w:lang w:bidi="ar-EG"/>
        </w:rPr>
        <w:t>ال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B200CB">
        <w:rPr>
          <w:rFonts w:hint="cs"/>
          <w:b/>
          <w:bCs/>
          <w:color w:val="244061" w:themeColor="accent1" w:themeShade="80"/>
          <w:rtl/>
          <w:lang w:bidi="ar-EG"/>
        </w:rPr>
        <w:t xml:space="preserve">الرئيسة لأداء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Heading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4E49F2D6" w:rsidR="00513307" w:rsidRPr="004D32AE" w:rsidRDefault="00513307" w:rsidP="009B011B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="009B011B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الاعتماد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CF0A" w14:textId="77777777" w:rsidR="00E3463E" w:rsidRDefault="00E3463E">
      <w:r>
        <w:separator/>
      </w:r>
    </w:p>
  </w:endnote>
  <w:endnote w:type="continuationSeparator" w:id="0">
    <w:p w14:paraId="38F42CF8" w14:textId="77777777" w:rsidR="00E3463E" w:rsidRDefault="00E3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FD6B33" w:rsidRDefault="00FD6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FD6B33" w:rsidRDefault="00FD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D6B33" w:rsidRPr="00C32BDC" w:rsidRDefault="00FD6B33" w:rsidP="00C32BD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7BA9E13E">
              <wp:simplePos x="0" y="0"/>
              <wp:positionH relativeFrom="column">
                <wp:posOffset>-720087</wp:posOffset>
              </wp:positionH>
              <wp:positionV relativeFrom="paragraph">
                <wp:posOffset>-372324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صورة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63DA71E1" w:rsidR="00FD6B33" w:rsidRPr="00705C7E" w:rsidRDefault="00FD6B33" w:rsidP="00C32BD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A1EE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63DA71E1" w:rsidR="00FD6B33" w:rsidRPr="00705C7E" w:rsidRDefault="00FD6B33" w:rsidP="00C32BDC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A1EE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C38F" w14:textId="77777777" w:rsidR="00E3463E" w:rsidRDefault="00E3463E">
      <w:r>
        <w:separator/>
      </w:r>
    </w:p>
  </w:footnote>
  <w:footnote w:type="continuationSeparator" w:id="0">
    <w:p w14:paraId="71164CE3" w14:textId="77777777" w:rsidR="00E3463E" w:rsidRDefault="00E3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4186736" w:rsidR="00FD6B33" w:rsidRDefault="00FD6B33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62976F5">
          <wp:simplePos x="0" y="0"/>
          <wp:positionH relativeFrom="page">
            <wp:posOffset>71252</wp:posOffset>
          </wp:positionH>
          <wp:positionV relativeFrom="paragraph">
            <wp:posOffset>-328163</wp:posOffset>
          </wp:positionV>
          <wp:extent cx="7380611" cy="10437612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2FFF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3E2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11B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0CB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1EE2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6FF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463E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B33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0E68DA-8E20-4884-BA16-4A06DF5B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884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NCAAA_5</cp:lastModifiedBy>
  <cp:revision>100</cp:revision>
  <cp:lastPrinted>2020-04-23T14:39:00Z</cp:lastPrinted>
  <dcterms:created xsi:type="dcterms:W3CDTF">2018-12-09T17:57:00Z</dcterms:created>
  <dcterms:modified xsi:type="dcterms:W3CDTF">2021-11-30T06:32:00Z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