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587F49">
      <w:pPr>
        <w:bidi w:val="0"/>
        <w:spacing w:after="0"/>
        <w:rPr>
          <w:rFonts w:ascii="Times New Roman" w:hAnsi="Times New Roman" w:cstheme="majorBidi"/>
          <w:lang w:bidi="ar-EG"/>
        </w:rPr>
      </w:pPr>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proofErr w:type="spellStart"/>
          <w:r w:rsidRPr="004A133C">
            <w:rPr>
              <w:rFonts w:ascii="Times New Roman" w:hAnsi="Times New Roman"/>
              <w:b/>
              <w:bCs/>
              <w:color w:val="C00000"/>
            </w:rPr>
            <w:t>Table</w:t>
          </w:r>
          <w:proofErr w:type="spellEnd"/>
          <w:r w:rsidRPr="004A133C">
            <w:rPr>
              <w:rFonts w:ascii="Times New Roman" w:hAnsi="Times New Roman"/>
              <w:b/>
              <w:bCs/>
              <w:color w:val="C00000"/>
            </w:rPr>
            <w:t xml:space="preserve"> </w:t>
          </w:r>
          <w:proofErr w:type="spellStart"/>
          <w:r w:rsidRPr="004A133C">
            <w:rPr>
              <w:rFonts w:ascii="Times New Roman" w:hAnsi="Times New Roman"/>
              <w:b/>
              <w:bCs/>
              <w:color w:val="C00000"/>
            </w:rPr>
            <w:t>of</w:t>
          </w:r>
          <w:proofErr w:type="spellEnd"/>
          <w:r w:rsidRPr="004A133C">
            <w:rPr>
              <w:rFonts w:ascii="Times New Roman" w:hAnsi="Times New Roman"/>
              <w:b/>
              <w:bCs/>
              <w:color w:val="C00000"/>
            </w:rPr>
            <w:t xml:space="preserve"> </w:t>
          </w:r>
          <w:proofErr w:type="spellStart"/>
          <w:r w:rsidRPr="004A133C">
            <w:rPr>
              <w:rFonts w:ascii="Times New Roman" w:hAnsi="Times New Roman"/>
              <w:b/>
              <w:bCs/>
              <w:color w:val="C00000"/>
            </w:rPr>
            <w:t>Contents</w:t>
          </w:r>
          <w:proofErr w:type="spellEnd"/>
        </w:p>
        <w:p w14:paraId="5CB407A5" w14:textId="21301129" w:rsidR="00C769C6" w:rsidRDefault="007905E8" w:rsidP="00F8251E">
          <w:pPr>
            <w:pStyle w:val="10"/>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3</w:t>
            </w:r>
            <w:r w:rsidR="00C769C6">
              <w:rPr>
                <w:rStyle w:val="Hyperlink"/>
                <w:noProof/>
                <w:rtl/>
              </w:rPr>
              <w:fldChar w:fldCharType="end"/>
            </w:r>
          </w:hyperlink>
        </w:p>
        <w:p w14:paraId="01962BD2" w14:textId="7F9977AE" w:rsidR="00C769C6" w:rsidRDefault="00B73E9B" w:rsidP="00C769C6">
          <w:pPr>
            <w:pStyle w:val="10"/>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4</w:t>
            </w:r>
            <w:r w:rsidR="00C769C6">
              <w:rPr>
                <w:rStyle w:val="Hyperlink"/>
                <w:noProof/>
                <w:rtl/>
              </w:rPr>
              <w:fldChar w:fldCharType="end"/>
            </w:r>
          </w:hyperlink>
        </w:p>
        <w:p w14:paraId="791BD9D2" w14:textId="0BDB9A6D" w:rsidR="00C769C6" w:rsidRDefault="00B73E9B" w:rsidP="00C769C6">
          <w:pPr>
            <w:pStyle w:val="10"/>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3C8058E2" w14:textId="1ADBF065" w:rsidR="00C769C6" w:rsidRDefault="00B73E9B" w:rsidP="004E5CB6">
          <w:pPr>
            <w:pStyle w:val="20"/>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22DEA467" w14:textId="1EE7505F" w:rsidR="00C769C6" w:rsidRDefault="00B73E9B" w:rsidP="004E5CB6">
          <w:pPr>
            <w:pStyle w:val="20"/>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10</w:t>
            </w:r>
            <w:r w:rsidR="00C769C6">
              <w:rPr>
                <w:rStyle w:val="Hyperlink"/>
                <w:noProof/>
                <w:rtl/>
              </w:rPr>
              <w:fldChar w:fldCharType="end"/>
            </w:r>
          </w:hyperlink>
        </w:p>
        <w:p w14:paraId="5255D623" w14:textId="3230FB64" w:rsidR="00C769C6" w:rsidRDefault="00B73E9B" w:rsidP="00C769C6">
          <w:pPr>
            <w:pStyle w:val="10"/>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14</w:t>
            </w:r>
            <w:r w:rsidR="00C769C6">
              <w:rPr>
                <w:rStyle w:val="Hyperlink"/>
                <w:noProof/>
                <w:rtl/>
              </w:rPr>
              <w:fldChar w:fldCharType="end"/>
            </w:r>
          </w:hyperlink>
        </w:p>
        <w:p w14:paraId="4204EAEF" w14:textId="6956DB38" w:rsidR="00C769C6" w:rsidRDefault="00B73E9B" w:rsidP="00C769C6">
          <w:pPr>
            <w:pStyle w:val="10"/>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15</w:t>
            </w:r>
            <w:r w:rsidR="00C769C6">
              <w:rPr>
                <w:rStyle w:val="Hyperlink"/>
                <w:noProof/>
                <w:rtl/>
              </w:rPr>
              <w:fldChar w:fldCharType="end"/>
            </w:r>
          </w:hyperlink>
        </w:p>
        <w:p w14:paraId="51B5B415" w14:textId="54BAA068" w:rsidR="00C769C6" w:rsidRDefault="00B73E9B" w:rsidP="00C769C6">
          <w:pPr>
            <w:pStyle w:val="10"/>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16</w:t>
            </w:r>
            <w:r w:rsidR="00C769C6">
              <w:rPr>
                <w:rStyle w:val="Hyperlink"/>
                <w:noProof/>
                <w:rtl/>
              </w:rPr>
              <w:fldChar w:fldCharType="end"/>
            </w:r>
          </w:hyperlink>
        </w:p>
        <w:p w14:paraId="42CA5AA0" w14:textId="5D1EA6F9" w:rsidR="00C769C6" w:rsidRDefault="00B73E9B" w:rsidP="00C769C6">
          <w:pPr>
            <w:pStyle w:val="10"/>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19</w:t>
            </w:r>
            <w:r w:rsidR="00C769C6">
              <w:rPr>
                <w:rStyle w:val="Hyperlink"/>
                <w:noProof/>
                <w:rtl/>
              </w:rPr>
              <w:fldChar w:fldCharType="end"/>
            </w:r>
          </w:hyperlink>
        </w:p>
        <w:p w14:paraId="68039386" w14:textId="08F78D15" w:rsidR="00C769C6" w:rsidRDefault="00B73E9B" w:rsidP="00C769C6">
          <w:pPr>
            <w:pStyle w:val="10"/>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23</w:t>
            </w:r>
            <w:r w:rsidR="00C769C6">
              <w:rPr>
                <w:rStyle w:val="Hyperlink"/>
                <w:noProof/>
                <w:rtl/>
              </w:rPr>
              <w:fldChar w:fldCharType="end"/>
            </w:r>
          </w:hyperlink>
        </w:p>
        <w:p w14:paraId="6C3F6EFE" w14:textId="4BE3D772" w:rsidR="00C769C6" w:rsidRDefault="00B73E9B" w:rsidP="00C769C6">
          <w:pPr>
            <w:pStyle w:val="10"/>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25</w:t>
            </w:r>
            <w:r w:rsidR="00C769C6">
              <w:rPr>
                <w:rStyle w:val="Hyperlink"/>
                <w:noProof/>
                <w:rtl/>
              </w:rPr>
              <w:fldChar w:fldCharType="end"/>
            </w:r>
          </w:hyperlink>
        </w:p>
        <w:p w14:paraId="5891F504" w14:textId="19268746" w:rsidR="00C769C6" w:rsidRDefault="00B73E9B" w:rsidP="00C769C6">
          <w:pPr>
            <w:pStyle w:val="10"/>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27</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1"/>
        <w:jc w:val="both"/>
        <w:rPr>
          <w:rFonts w:cstheme="majorBidi"/>
          <w:sz w:val="24"/>
          <w:szCs w:val="24"/>
        </w:rPr>
      </w:pPr>
      <w:r w:rsidRPr="004A133C">
        <w:rPr>
          <w:rtl/>
          <w:lang w:bidi="ar-EG"/>
        </w:rPr>
        <w:br w:type="page"/>
      </w:r>
      <w:bookmarkStart w:id="0" w:name="_Toc534615594"/>
      <w:bookmarkStart w:id="1" w:name="_Toc532112652"/>
      <w:r w:rsidR="00FE0219" w:rsidRPr="004A133C">
        <w:rPr>
          <w:rFonts w:cstheme="majorBidi"/>
          <w:sz w:val="24"/>
          <w:szCs w:val="24"/>
        </w:rPr>
        <w:lastRenderedPageBreak/>
        <w:t>Introduction</w:t>
      </w:r>
      <w:bookmarkEnd w:id="0"/>
    </w:p>
    <w:p w14:paraId="04EA4474" w14:textId="4519BF54" w:rsidR="00FE0219" w:rsidRPr="004A133C" w:rsidRDefault="00FE0219" w:rsidP="000E0DB8">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af"/>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af"/>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xml:space="preserve">; to enhance the credibility, </w:t>
      </w:r>
      <w:proofErr w:type="gramStart"/>
      <w:r w:rsidRPr="004A133C">
        <w:rPr>
          <w:rFonts w:ascii="Times New Roman" w:hAnsi="Times New Roman" w:cstheme="majorBidi"/>
          <w:sz w:val="24"/>
          <w:szCs w:val="24"/>
        </w:rPr>
        <w:t>objectivity</w:t>
      </w:r>
      <w:proofErr w:type="gramEnd"/>
      <w:r w:rsidRPr="004A133C">
        <w:rPr>
          <w:rFonts w:ascii="Times New Roman" w:hAnsi="Times New Roman" w:cstheme="majorBidi"/>
          <w:sz w:val="24"/>
          <w:szCs w:val="24"/>
        </w:rPr>
        <w:t xml:space="preserve"> and accuracy of the evaluation.</w:t>
      </w:r>
    </w:p>
    <w:p w14:paraId="62F885B7" w14:textId="4E4D5E97" w:rsidR="00FE0219" w:rsidRPr="004A133C" w:rsidRDefault="00FE0219" w:rsidP="003B50ED">
      <w:pPr>
        <w:pStyle w:val="af"/>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document serves as the guide and </w:t>
      </w:r>
      <w:proofErr w:type="spellStart"/>
      <w:r w:rsidRPr="004A133C">
        <w:rPr>
          <w:rFonts w:ascii="Times New Roman" w:hAnsi="Times New Roman" w:cstheme="majorBidi"/>
          <w:sz w:val="24"/>
          <w:szCs w:val="24"/>
        </w:rPr>
        <w:t>orientor</w:t>
      </w:r>
      <w:proofErr w:type="spellEnd"/>
      <w:r w:rsidRPr="004A133C">
        <w:rPr>
          <w:rFonts w:ascii="Times New Roman" w:hAnsi="Times New Roman" w:cstheme="majorBidi"/>
          <w:sz w:val="24"/>
          <w:szCs w:val="24"/>
        </w:rPr>
        <w:t xml:space="preserve"> for planning processes to improve the quality of performance based on self and external evaluation according to these scales.</w:t>
      </w:r>
    </w:p>
    <w:p w14:paraId="5DB2137C"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1"/>
        <w:jc w:val="both"/>
        <w:rPr>
          <w:rFonts w:cstheme="majorBidi"/>
          <w:sz w:val="24"/>
          <w:szCs w:val="24"/>
        </w:rPr>
      </w:pPr>
      <w:bookmarkStart w:id="2" w:name="_Toc534615595"/>
      <w:r w:rsidRPr="004A133C">
        <w:rPr>
          <w:rFonts w:cstheme="majorBidi"/>
          <w:sz w:val="24"/>
          <w:szCs w:val="24"/>
        </w:rPr>
        <w:t>Elements of Evaluation:</w:t>
      </w:r>
      <w:bookmarkEnd w:id="2"/>
    </w:p>
    <w:p w14:paraId="32399A06" w14:textId="1DC6B252" w:rsidR="00FE0219" w:rsidRPr="004A133C" w:rsidRDefault="00FE0219" w:rsidP="003B50ED">
      <w:pPr>
        <w:pStyle w:val="af"/>
        <w:bidi w:val="0"/>
        <w:spacing w:line="360" w:lineRule="auto"/>
        <w:jc w:val="both"/>
        <w:rPr>
          <w:rFonts w:ascii="Times New Roman" w:hAnsi="Times New Roman" w:cstheme="majorBidi"/>
          <w:sz w:val="24"/>
          <w:szCs w:val="24"/>
        </w:rPr>
      </w:pPr>
      <w:proofErr w:type="gramStart"/>
      <w:r w:rsidRPr="004A133C">
        <w:rPr>
          <w:rFonts w:ascii="Times New Roman" w:hAnsi="Times New Roman" w:cstheme="majorBidi"/>
          <w:sz w:val="24"/>
          <w:szCs w:val="24"/>
        </w:rPr>
        <w:t>In order to</w:t>
      </w:r>
      <w:proofErr w:type="gramEnd"/>
      <w:r w:rsidRPr="004A133C">
        <w:rPr>
          <w:rFonts w:ascii="Times New Roman" w:hAnsi="Times New Roman" w:cstheme="majorBidi"/>
          <w:sz w:val="24"/>
          <w:szCs w:val="24"/>
        </w:rPr>
        <w:t xml:space="preserve">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af"/>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1"/>
        <w:rPr>
          <w:rFonts w:cstheme="majorBidi"/>
          <w:sz w:val="24"/>
          <w:szCs w:val="24"/>
        </w:rPr>
      </w:pPr>
      <w:bookmarkStart w:id="3" w:name="_Toc534615596"/>
      <w:r w:rsidRPr="004A133C">
        <w:rPr>
          <w:rFonts w:cstheme="majorBidi"/>
          <w:sz w:val="24"/>
          <w:szCs w:val="24"/>
        </w:rPr>
        <w:lastRenderedPageBreak/>
        <w:t>Steps for Evaluation</w:t>
      </w:r>
      <w:r w:rsidRPr="004A133C">
        <w:rPr>
          <w:rFonts w:cstheme="majorBidi"/>
          <w:sz w:val="24"/>
          <w:szCs w:val="24"/>
          <w:rtl/>
        </w:rPr>
        <w:t>:</w:t>
      </w:r>
      <w:bookmarkEnd w:id="3"/>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4" w:name="_Toc534615597"/>
      <w:r w:rsidRPr="004A133C">
        <w:rPr>
          <w:rFonts w:ascii="Times New Roman" w:hAnsi="Times New Roman"/>
        </w:rPr>
        <w:t>First Step: Evaluation of the criterion</w:t>
      </w:r>
      <w:bookmarkEnd w:id="4"/>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1"/>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5"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a9"/>
              <w:numPr>
                <w:ilvl w:val="0"/>
                <w:numId w:val="7"/>
              </w:numPr>
              <w:bidi w:val="0"/>
              <w:spacing w:after="0"/>
              <w:ind w:left="125" w:hanging="176"/>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5"/>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6"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thinking and self-learning skills. There is sufficient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6"/>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proofErr w:type="gramStart"/>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proofErr w:type="gramEnd"/>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good level and on a regular basis, and there is sufficient evidence to do so. It is subject to periodic monitoring, </w:t>
            </w:r>
            <w:proofErr w:type="gramStart"/>
            <w:r w:rsidRPr="006C7B3F">
              <w:rPr>
                <w:rFonts w:ascii="Times New Roman" w:hAnsi="Times New Roman" w:cstheme="majorBidi"/>
                <w:sz w:val="24"/>
                <w:szCs w:val="24"/>
              </w:rPr>
              <w:t>assessment</w:t>
            </w:r>
            <w:proofErr w:type="gramEnd"/>
            <w:r w:rsidRPr="006C7B3F">
              <w:rPr>
                <w:rFonts w:ascii="Times New Roman" w:hAnsi="Times New Roman" w:cstheme="majorBidi"/>
                <w:sz w:val="24"/>
                <w:szCs w:val="24"/>
              </w:rPr>
              <w:t xml:space="preserve">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sufficient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7" w:name="_Toc534615598"/>
      <w:r w:rsidRPr="004A133C">
        <w:rPr>
          <w:rFonts w:ascii="Times New Roman" w:hAnsi="Times New Roman"/>
        </w:rPr>
        <w:lastRenderedPageBreak/>
        <w:t>Second Step: Evaluation of the Standard</w:t>
      </w:r>
      <w:bookmarkEnd w:id="7"/>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w:t>
      </w:r>
      <w:proofErr w:type="gramStart"/>
      <w:r w:rsidRPr="004A133C">
        <w:rPr>
          <w:rFonts w:ascii="Times New Roman" w:hAnsi="Times New Roman" w:cstheme="majorBidi"/>
          <w:color w:val="0D0D0D" w:themeColor="text1" w:themeTint="F2"/>
          <w:sz w:val="24"/>
          <w:szCs w:val="24"/>
          <w:lang w:bidi="ar-LB"/>
        </w:rPr>
        <w:t>standard as a whole, by</w:t>
      </w:r>
      <w:proofErr w:type="gramEnd"/>
      <w:r w:rsidRPr="004A133C">
        <w:rPr>
          <w:rFonts w:ascii="Times New Roman" w:hAnsi="Times New Roman" w:cstheme="majorBidi"/>
          <w:color w:val="0D0D0D" w:themeColor="text1" w:themeTint="F2"/>
          <w:sz w:val="24"/>
          <w:szCs w:val="24"/>
          <w:lang w:bidi="ar-LB"/>
        </w:rPr>
        <w:t xml:space="preserve">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has </w:t>
            </w:r>
            <w:proofErr w:type="gramStart"/>
            <w:r w:rsidRPr="003B5548">
              <w:rPr>
                <w:rFonts w:asciiTheme="majorBidi" w:hAnsiTheme="majorBidi" w:cstheme="majorBidi"/>
                <w:sz w:val="20"/>
                <w:szCs w:val="20"/>
              </w:rPr>
              <w:t>the sufficient number of</w:t>
            </w:r>
            <w:proofErr w:type="gramEnd"/>
            <w:r w:rsidRPr="003B5548">
              <w:rPr>
                <w:rFonts w:asciiTheme="majorBidi" w:hAnsiTheme="majorBidi" w:cstheme="majorBidi"/>
                <w:sz w:val="20"/>
                <w:szCs w:val="20"/>
              </w:rPr>
              <w:t xml:space="preserve">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management monitors its commitment to implement its role in </w:t>
            </w:r>
            <w:proofErr w:type="gramStart"/>
            <w:r w:rsidRPr="003B5548">
              <w:rPr>
                <w:rFonts w:asciiTheme="majorBidi" w:hAnsiTheme="majorBidi" w:cstheme="majorBidi"/>
                <w:sz w:val="20"/>
                <w:szCs w:val="20"/>
              </w:rPr>
              <w:t>the  community</w:t>
            </w:r>
            <w:proofErr w:type="gramEnd"/>
            <w:r w:rsidRPr="003B5548">
              <w:rPr>
                <w:rFonts w:asciiTheme="majorBidi" w:hAnsiTheme="majorBidi" w:cstheme="majorBidi"/>
                <w:sz w:val="20"/>
                <w:szCs w:val="20"/>
              </w:rPr>
              <w:t xml:space="preserve">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There is </w:t>
            </w:r>
            <w:proofErr w:type="gramStart"/>
            <w:r w:rsidRPr="003B5548">
              <w:rPr>
                <w:rFonts w:asciiTheme="majorBidi" w:hAnsiTheme="majorBidi" w:cstheme="majorBidi"/>
                <w:sz w:val="20"/>
                <w:szCs w:val="20"/>
              </w:rPr>
              <w:t>a sufficient amount of</w:t>
            </w:r>
            <w:proofErr w:type="gramEnd"/>
            <w:r w:rsidRPr="003B5548">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1"/>
        <w:jc w:val="center"/>
        <w:rPr>
          <w:sz w:val="32"/>
          <w:szCs w:val="36"/>
          <w:lang w:bidi="ar-EG"/>
        </w:rPr>
      </w:pPr>
      <w:bookmarkStart w:id="8"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8"/>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1"/>
        <w:spacing w:line="240" w:lineRule="auto"/>
        <w:rPr>
          <w:lang w:val="en-US" w:bidi="ar-EG"/>
        </w:rPr>
      </w:pPr>
      <w:bookmarkStart w:id="9" w:name="_Toc532385887"/>
      <w:bookmarkStart w:id="10" w:name="_Toc532386004"/>
      <w:bookmarkStart w:id="11" w:name="_Toc534615600"/>
      <w:r w:rsidRPr="004A133C">
        <w:rPr>
          <w:lang w:bidi="ar-LB"/>
        </w:rPr>
        <w:lastRenderedPageBreak/>
        <w:t xml:space="preserve">1. </w:t>
      </w:r>
      <w:bookmarkEnd w:id="9"/>
      <w:bookmarkEnd w:id="10"/>
      <w:r w:rsidR="003D24D9" w:rsidRPr="003D24D9">
        <w:rPr>
          <w:lang w:bidi="ar-LB"/>
        </w:rPr>
        <w:t>MISSION AND GOALS</w:t>
      </w:r>
      <w:bookmarkEnd w:id="11"/>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The program must have a clear and appropriate mission that is consistent with the mission statements of the institution and the college/</w:t>
      </w:r>
      <w:proofErr w:type="gramStart"/>
      <w:r w:rsidRPr="003D24D9">
        <w:rPr>
          <w:rFonts w:ascii="Times New Roman" w:hAnsi="Times New Roman" w:cstheme="majorBidi"/>
          <w:sz w:val="20"/>
          <w:szCs w:val="20"/>
          <w:lang w:bidi="ar-LB"/>
        </w:rPr>
        <w:t>department, and</w:t>
      </w:r>
      <w:proofErr w:type="gramEnd"/>
      <w:r w:rsidRPr="003D24D9">
        <w:rPr>
          <w:rFonts w:ascii="Times New Roman" w:hAnsi="Times New Roman" w:cstheme="majorBidi"/>
          <w:sz w:val="20"/>
          <w:szCs w:val="20"/>
          <w:lang w:bidi="ar-LB"/>
        </w:rPr>
        <w:t xml:space="preserve">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 xml:space="preserve">The program has a clear, appropriate, approved and publicized widely mission that is consistent with the mission of the institution and the college/department; and is consistent with the needs of the society and the national </w:t>
            </w:r>
            <w:proofErr w:type="gramStart"/>
            <w:r w:rsidRPr="008723D4">
              <w:rPr>
                <w:rFonts w:asciiTheme="majorBidi" w:hAnsiTheme="majorBidi" w:cstheme="majorBidi"/>
                <w:b/>
                <w:bCs/>
                <w:sz w:val="20"/>
                <w:szCs w:val="20"/>
              </w:rPr>
              <w:t>trends.</w:t>
            </w:r>
            <w:r>
              <w:rPr>
                <w:rFonts w:asciiTheme="majorBidi" w:hAnsiTheme="majorBidi" w:cstheme="majorBidi"/>
                <w:b/>
                <w:bCs/>
                <w:sz w:val="20"/>
                <w:szCs w:val="20"/>
                <w:lang w:bidi="ar-EG"/>
              </w:rPr>
              <w:t>*</w:t>
            </w:r>
            <w:proofErr w:type="gramEnd"/>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 xml:space="preserve">The program goals are linked to its mission, consistent with the goals of the institution/college, and characterized by being clear, </w:t>
            </w:r>
            <w:proofErr w:type="gramStart"/>
            <w:r w:rsidRPr="008723D4">
              <w:rPr>
                <w:rFonts w:asciiTheme="majorBidi" w:hAnsiTheme="majorBidi" w:cstheme="majorBidi"/>
                <w:sz w:val="20"/>
                <w:szCs w:val="20"/>
              </w:rPr>
              <w:t>realistic</w:t>
            </w:r>
            <w:proofErr w:type="gramEnd"/>
            <w:r w:rsidRPr="008723D4">
              <w:rPr>
                <w:rFonts w:asciiTheme="majorBidi" w:hAnsiTheme="majorBidi" w:cstheme="majorBidi"/>
                <w:sz w:val="20"/>
                <w:szCs w:val="20"/>
              </w:rPr>
              <w:t xml:space="preserve">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 xml:space="preserve">Program managers monitor the extent to which its goals are achieved, through specific performance indicators, and take the necessary actions for performance </w:t>
            </w:r>
            <w:proofErr w:type="gramStart"/>
            <w:r w:rsidRPr="008723D4">
              <w:rPr>
                <w:rFonts w:asciiTheme="majorBidi" w:hAnsiTheme="majorBidi" w:cstheme="majorBidi"/>
                <w:b/>
                <w:bCs/>
                <w:sz w:val="20"/>
                <w:szCs w:val="20"/>
              </w:rPr>
              <w:t>improvement.</w:t>
            </w:r>
            <w:r w:rsidRPr="008723D4">
              <w:rPr>
                <w:rFonts w:asciiTheme="majorBidi" w:hAnsiTheme="majorBidi" w:cstheme="majorBidi"/>
                <w:b/>
                <w:bCs/>
                <w:sz w:val="20"/>
                <w:szCs w:val="20"/>
                <w:lang w:bidi="ar-EG"/>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 xml:space="preserve">The program mission and goals are reviewed periodically with the participation of relevant </w:t>
            </w:r>
            <w:proofErr w:type="gramStart"/>
            <w:r w:rsidRPr="008723D4">
              <w:rPr>
                <w:rFonts w:asciiTheme="majorBidi" w:hAnsiTheme="majorBidi" w:cstheme="majorBidi"/>
                <w:sz w:val="20"/>
                <w:szCs w:val="20"/>
              </w:rPr>
              <w:t>stakeholders, and</w:t>
            </w:r>
            <w:proofErr w:type="gramEnd"/>
            <w:r w:rsidRPr="008723D4">
              <w:rPr>
                <w:rFonts w:asciiTheme="majorBidi" w:hAnsiTheme="majorBidi" w:cstheme="majorBidi"/>
                <w:sz w:val="20"/>
                <w:szCs w:val="20"/>
              </w:rPr>
              <w:t xml:space="preserve">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1"/>
      </w:pPr>
      <w:bookmarkStart w:id="12" w:name="_Toc532385888"/>
      <w:bookmarkStart w:id="13" w:name="_Toc532386005"/>
      <w:bookmarkStart w:id="14" w:name="_Toc534615601"/>
      <w:r w:rsidRPr="004A133C">
        <w:rPr>
          <w:lang w:bidi="ar-LB"/>
        </w:rPr>
        <w:lastRenderedPageBreak/>
        <w:t>2.</w:t>
      </w:r>
      <w:r w:rsidR="00EC2089" w:rsidRPr="004A133C">
        <w:rPr>
          <w:lang w:bidi="ar-LB"/>
        </w:rPr>
        <w:t xml:space="preserve"> </w:t>
      </w:r>
      <w:bookmarkEnd w:id="12"/>
      <w:bookmarkEnd w:id="13"/>
      <w:r w:rsidR="003D24D9" w:rsidRPr="003D24D9">
        <w:rPr>
          <w:lang w:bidi="ar-LB"/>
        </w:rPr>
        <w:t>PROGRAM MANAGEMENT AND QUALITY ASSURANCE</w:t>
      </w:r>
      <w:bookmarkEnd w:id="14"/>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 xml:space="preserve">The program must have effective leadership that implements the institutional systems, </w:t>
      </w:r>
      <w:proofErr w:type="gramStart"/>
      <w:r w:rsidRPr="00865CFF">
        <w:rPr>
          <w:rFonts w:ascii="Times New Roman" w:hAnsi="Times New Roman" w:cstheme="majorBidi"/>
          <w:sz w:val="20"/>
          <w:szCs w:val="20"/>
          <w:lang w:bidi="ar-LB"/>
        </w:rPr>
        <w:t>policies</w:t>
      </w:r>
      <w:proofErr w:type="gramEnd"/>
      <w:r w:rsidRPr="00865CFF">
        <w:rPr>
          <w:rFonts w:ascii="Times New Roman" w:hAnsi="Times New Roman" w:cstheme="majorBidi"/>
          <w:sz w:val="20"/>
          <w:szCs w:val="20"/>
          <w:lang w:bidi="ar-LB"/>
        </w:rPr>
        <w:t xml:space="preserve">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5" w:name="_Toc513634042"/>
            <w:bookmarkStart w:id="16" w:name="_Toc513634144"/>
            <w:r w:rsidRPr="001371F5">
              <w:rPr>
                <w:rFonts w:asciiTheme="majorBidi" w:hAnsiTheme="majorBidi" w:cstheme="majorBidi"/>
                <w:b/>
                <w:bCs/>
                <w:sz w:val="20"/>
                <w:szCs w:val="20"/>
              </w:rPr>
              <w:t>Program Management</w:t>
            </w:r>
            <w:bookmarkEnd w:id="15"/>
            <w:bookmarkEnd w:id="16"/>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 xml:space="preserve">The program has the sufficient number of qualified staff to perform its administrative, professional and technical tasks, and they have defined tasks and </w:t>
            </w:r>
            <w:proofErr w:type="gramStart"/>
            <w:r w:rsidRPr="001371F5">
              <w:rPr>
                <w:rFonts w:asciiTheme="majorBidi" w:hAnsiTheme="majorBidi" w:cstheme="majorBidi"/>
                <w:b/>
                <w:bCs/>
                <w:sz w:val="20"/>
                <w:szCs w:val="20"/>
              </w:rPr>
              <w:t>authorities.</w:t>
            </w:r>
            <w:r>
              <w:rPr>
                <w:rFonts w:asciiTheme="majorBidi" w:hAnsiTheme="majorBidi" w:cstheme="majorBidi"/>
                <w:b/>
                <w:bCs/>
                <w:sz w:val="20"/>
                <w:szCs w:val="20"/>
                <w:lang w:bidi="ar-EG"/>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 program management monitors its commitment to implement its role in </w:t>
            </w:r>
            <w:proofErr w:type="gramStart"/>
            <w:r w:rsidRPr="001371F5">
              <w:rPr>
                <w:rFonts w:asciiTheme="majorBidi" w:hAnsiTheme="majorBidi" w:cstheme="majorBidi"/>
                <w:sz w:val="20"/>
                <w:szCs w:val="20"/>
              </w:rPr>
              <w:t>the  community</w:t>
            </w:r>
            <w:proofErr w:type="gramEnd"/>
            <w:r w:rsidRPr="001371F5">
              <w:rPr>
                <w:rFonts w:asciiTheme="majorBidi" w:hAnsiTheme="majorBidi" w:cstheme="majorBidi"/>
                <w:sz w:val="20"/>
                <w:szCs w:val="20"/>
              </w:rPr>
              <w:t xml:space="preserve">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There is </w:t>
            </w:r>
            <w:proofErr w:type="gramStart"/>
            <w:r w:rsidRPr="001371F5">
              <w:rPr>
                <w:rFonts w:asciiTheme="majorBidi" w:hAnsiTheme="majorBidi" w:cstheme="majorBidi"/>
                <w:sz w:val="20"/>
                <w:szCs w:val="20"/>
              </w:rPr>
              <w:t>a sufficient amount of</w:t>
            </w:r>
            <w:proofErr w:type="gramEnd"/>
            <w:r w:rsidRPr="001371F5">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 xml:space="preserve">The program forms an advisory committee, comprised of members of professionals and experts in the program specialization, to contribute to its evaluation, development, and performance </w:t>
            </w:r>
            <w:proofErr w:type="gramStart"/>
            <w:r w:rsidRPr="001371F5">
              <w:rPr>
                <w:rFonts w:asciiTheme="majorBidi" w:hAnsiTheme="majorBidi" w:cstheme="majorBidi"/>
                <w:b/>
                <w:bCs/>
                <w:sz w:val="20"/>
                <w:szCs w:val="20"/>
              </w:rPr>
              <w:t>improvement.</w:t>
            </w:r>
            <w:r>
              <w:rPr>
                <w:rFonts w:asciiTheme="majorBidi" w:hAnsiTheme="majorBidi" w:cstheme="majorBidi"/>
                <w:b/>
                <w:bCs/>
                <w:sz w:val="20"/>
                <w:szCs w:val="20"/>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 xml:space="preserve">The program management is committed to activating the values of the scientific integrity, rules of ethical practices, and proper conduct in all academic, research, administrative, and service fields and </w:t>
            </w:r>
            <w:proofErr w:type="gramStart"/>
            <w:r w:rsidRPr="001371F5">
              <w:rPr>
                <w:rFonts w:asciiTheme="majorBidi" w:eastAsiaTheme="minorEastAsia" w:hAnsiTheme="majorBidi" w:cstheme="majorBidi"/>
                <w:b/>
                <w:bCs/>
                <w:sz w:val="20"/>
                <w:szCs w:val="20"/>
              </w:rPr>
              <w:t>activities.</w:t>
            </w:r>
            <w:r>
              <w:rPr>
                <w:rFonts w:asciiTheme="majorBidi" w:eastAsiaTheme="minorEastAsia" w:hAnsiTheme="majorBidi" w:cstheme="majorBidi"/>
                <w:b/>
                <w:bCs/>
                <w:sz w:val="20"/>
                <w:szCs w:val="20"/>
              </w:rPr>
              <w:t>*</w:t>
            </w:r>
            <w:proofErr w:type="gramEnd"/>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7" w:name="_Toc513634043"/>
            <w:bookmarkStart w:id="18" w:name="_Toc513634145"/>
            <w:r w:rsidRPr="001371F5">
              <w:rPr>
                <w:rFonts w:asciiTheme="majorBidi" w:hAnsiTheme="majorBidi" w:cstheme="majorBidi"/>
                <w:b/>
                <w:bCs/>
                <w:sz w:val="20"/>
                <w:szCs w:val="20"/>
              </w:rPr>
              <w:t>Program Quality Assurance</w:t>
            </w:r>
            <w:bookmarkEnd w:id="17"/>
            <w:bookmarkEnd w:id="18"/>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677E18">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19" w:name="_Toc532385889"/>
      <w:bookmarkStart w:id="20" w:name="_Toc532386006"/>
      <w:r w:rsidRPr="004A133C">
        <w:rPr>
          <w:rFonts w:ascii="Times New Roman" w:hAnsi="Times New Roman"/>
        </w:rPr>
        <w:br w:type="page"/>
      </w:r>
    </w:p>
    <w:p w14:paraId="64CA2F2B" w14:textId="1EB497C1" w:rsidR="005A242B" w:rsidRPr="004A133C" w:rsidRDefault="005A242B" w:rsidP="002F3DF6">
      <w:pPr>
        <w:pStyle w:val="1"/>
        <w:rPr>
          <w:rtl/>
          <w:lang w:bidi="ar-EG"/>
        </w:rPr>
      </w:pPr>
      <w:bookmarkStart w:id="21" w:name="_Toc534615602"/>
      <w:r w:rsidRPr="004A133C">
        <w:lastRenderedPageBreak/>
        <w:t>3.</w:t>
      </w:r>
      <w:r w:rsidR="00EC2089" w:rsidRPr="004A133C">
        <w:t xml:space="preserve"> </w:t>
      </w:r>
      <w:bookmarkEnd w:id="19"/>
      <w:bookmarkEnd w:id="20"/>
      <w:r w:rsidR="003D24D9" w:rsidRPr="003D24D9">
        <w:rPr>
          <w:lang w:bidi="ar-LB"/>
        </w:rPr>
        <w:t>TEACHING AND LEARNING</w:t>
      </w:r>
      <w:bookmarkEnd w:id="21"/>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2" w:name="_Toc513634045"/>
            <w:bookmarkStart w:id="23" w:name="_Toc513634147"/>
            <w:r w:rsidRPr="00867F21">
              <w:rPr>
                <w:rFonts w:asciiTheme="majorBidi" w:hAnsiTheme="majorBidi" w:cstheme="majorBidi"/>
                <w:b/>
                <w:bCs/>
                <w:sz w:val="20"/>
                <w:szCs w:val="20"/>
              </w:rPr>
              <w:t>Graduate Attributes and Learning Outcomes</w:t>
            </w:r>
            <w:bookmarkEnd w:id="22"/>
            <w:bookmarkEnd w:id="23"/>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w:t>
            </w:r>
            <w:proofErr w:type="gramStart"/>
            <w:r w:rsidRPr="00BE1EB5">
              <w:rPr>
                <w:rFonts w:asciiTheme="majorBidi" w:hAnsiTheme="majorBidi" w:cstheme="majorBidi"/>
                <w:sz w:val="20"/>
                <w:szCs w:val="20"/>
              </w:rPr>
              <w:t>mission, and</w:t>
            </w:r>
            <w:proofErr w:type="gramEnd"/>
            <w:r w:rsidRPr="00BE1EB5">
              <w:rPr>
                <w:rFonts w:asciiTheme="majorBidi" w:hAnsiTheme="majorBidi" w:cstheme="majorBidi"/>
                <w:sz w:val="20"/>
                <w:szCs w:val="20"/>
              </w:rPr>
              <w:t xml:space="preserve">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 xml:space="preserve">The graduate attributes and learning outcomes are consistent with the requirements of the Saudi Arabia Qualifications Framework (SAQF) and with academic, professional, and labor market </w:t>
            </w:r>
            <w:proofErr w:type="gramStart"/>
            <w:r w:rsidRPr="00867F21">
              <w:rPr>
                <w:rFonts w:asciiTheme="majorBidi" w:hAnsiTheme="majorBidi" w:cstheme="majorBidi"/>
                <w:b/>
                <w:bCs/>
                <w:sz w:val="20"/>
                <w:szCs w:val="20"/>
              </w:rPr>
              <w:t>requirements.</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w:t>
            </w:r>
            <w:proofErr w:type="gramStart"/>
            <w:r w:rsidRPr="00BE1EB5">
              <w:rPr>
                <w:rFonts w:asciiTheme="majorBidi" w:hAnsiTheme="majorBidi" w:cstheme="majorBidi"/>
                <w:sz w:val="20"/>
                <w:szCs w:val="20"/>
              </w:rPr>
              <w:t>creativity</w:t>
            </w:r>
            <w:proofErr w:type="gramEnd"/>
            <w:r w:rsidRPr="00BE1EB5">
              <w:rPr>
                <w:rFonts w:asciiTheme="majorBidi" w:hAnsiTheme="majorBidi" w:cstheme="majorBidi"/>
                <w:sz w:val="20"/>
                <w:szCs w:val="20"/>
              </w:rPr>
              <w:t xml:space="preserve">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w:t>
            </w:r>
            <w:proofErr w:type="gramStart"/>
            <w:r w:rsidRPr="00867F21">
              <w:rPr>
                <w:rFonts w:asciiTheme="majorBidi" w:hAnsiTheme="majorBidi" w:cstheme="majorBidi"/>
                <w:b/>
                <w:bCs/>
                <w:sz w:val="20"/>
                <w:szCs w:val="20"/>
              </w:rPr>
              <w:t>outcomes, and</w:t>
            </w:r>
            <w:proofErr w:type="gramEnd"/>
            <w:r w:rsidRPr="00867F21">
              <w:rPr>
                <w:rFonts w:asciiTheme="majorBidi" w:hAnsiTheme="majorBidi" w:cstheme="majorBidi"/>
                <w:b/>
                <w:bCs/>
                <w:sz w:val="20"/>
                <w:szCs w:val="20"/>
              </w:rPr>
              <w:t xml:space="preserve">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4" w:name="_Toc513634046"/>
            <w:bookmarkStart w:id="25" w:name="_Toc513634148"/>
            <w:r w:rsidRPr="00BE1EB5">
              <w:rPr>
                <w:rFonts w:asciiTheme="majorBidi" w:hAnsiTheme="majorBidi" w:cstheme="majorBidi"/>
                <w:b/>
                <w:bCs/>
                <w:sz w:val="20"/>
                <w:szCs w:val="20"/>
              </w:rPr>
              <w:t>Curriculum</w:t>
            </w:r>
            <w:bookmarkEnd w:id="24"/>
            <w:bookmarkEnd w:id="25"/>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is committed to the institutional policies, standards, and procedures in the design, </w:t>
            </w:r>
            <w:proofErr w:type="gramStart"/>
            <w:r w:rsidRPr="00BE1EB5">
              <w:rPr>
                <w:rFonts w:asciiTheme="majorBidi" w:hAnsiTheme="majorBidi" w:cstheme="majorBidi"/>
                <w:sz w:val="20"/>
                <w:szCs w:val="20"/>
              </w:rPr>
              <w:t>development</w:t>
            </w:r>
            <w:proofErr w:type="gramEnd"/>
            <w:r w:rsidRPr="00BE1EB5">
              <w:rPr>
                <w:rFonts w:asciiTheme="majorBidi" w:hAnsiTheme="majorBidi" w:cstheme="majorBidi"/>
                <w:sz w:val="20"/>
                <w:szCs w:val="20"/>
              </w:rPr>
              <w:t xml:space="preserve">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 xml:space="preserve">The curriculum design considers fulfilling the program goals and learning outcomes, and the educational, scientific, technical and professional developments in the field of specialization; and is periodically </w:t>
            </w:r>
            <w:proofErr w:type="gramStart"/>
            <w:r w:rsidRPr="00055D19">
              <w:rPr>
                <w:rFonts w:asciiTheme="majorBidi" w:hAnsiTheme="majorBidi" w:cstheme="majorBidi"/>
                <w:b/>
                <w:bCs/>
                <w:sz w:val="20"/>
                <w:szCs w:val="20"/>
              </w:rPr>
              <w:t>reviewed.</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 xml:space="preserve">The study plan maintains the balance between the theoretical and applied aspects, the research component (if any), and the scientific depth, and takes into consideration the sequence and integration between the academic courses and the educational </w:t>
            </w:r>
            <w:proofErr w:type="gramStart"/>
            <w:r w:rsidRPr="00055D19">
              <w:rPr>
                <w:rFonts w:asciiTheme="majorBidi" w:hAnsiTheme="majorBidi" w:cstheme="majorBidi"/>
                <w:b/>
                <w:bCs/>
                <w:sz w:val="20"/>
                <w:szCs w:val="20"/>
              </w:rPr>
              <w:t>activities.</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lastRenderedPageBreak/>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The learning outcomes of the courses and research activities are aligned with the program learning outcomes (e.g., Matrix for the alignment of the learning outcomes of the courses and research activities with program learning outcomes</w:t>
            </w:r>
            <w:proofErr w:type="gramStart"/>
            <w:r w:rsidRPr="00D34618">
              <w:rPr>
                <w:rFonts w:asciiTheme="majorBidi" w:hAnsiTheme="majorBidi" w:cstheme="majorBidi"/>
                <w:b/>
                <w:bCs/>
                <w:sz w:val="20"/>
                <w:szCs w:val="20"/>
              </w:rPr>
              <w:t>).</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learning outcomes of the field experience activities (if any) are aligned with the learning outcomes of the program; and appropriate strategies for training, assessment, and training venues are identified </w:t>
            </w:r>
            <w:proofErr w:type="gramStart"/>
            <w:r w:rsidRPr="00BE1EB5">
              <w:rPr>
                <w:rFonts w:asciiTheme="majorBidi" w:hAnsiTheme="majorBidi" w:cstheme="majorBidi"/>
                <w:sz w:val="20"/>
                <w:szCs w:val="20"/>
              </w:rPr>
              <w:t>in order to</w:t>
            </w:r>
            <w:proofErr w:type="gramEnd"/>
            <w:r w:rsidRPr="00BE1EB5">
              <w:rPr>
                <w:rFonts w:asciiTheme="majorBidi" w:hAnsiTheme="majorBidi" w:cstheme="majorBidi"/>
                <w:sz w:val="20"/>
                <w:szCs w:val="20"/>
              </w:rPr>
              <w:t xml:space="preserve">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evaluation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 xml:space="preserve">Teaching and learning strategies and assessment methods in the program vary according to its nature and level, enhance the ability to conduct research, and ensure students' acquisition of higher cognitive thinking and self-learning </w:t>
            </w:r>
            <w:proofErr w:type="gramStart"/>
            <w:r w:rsidRPr="00C65C8B">
              <w:rPr>
                <w:rFonts w:asciiTheme="majorBidi" w:hAnsiTheme="majorBidi" w:cstheme="majorBidi"/>
                <w:b/>
                <w:bCs/>
                <w:sz w:val="20"/>
                <w:szCs w:val="20"/>
              </w:rPr>
              <w:t>skills.</w:t>
            </w:r>
            <w:r>
              <w:rPr>
                <w:rFonts w:asciiTheme="majorBidi" w:hAnsiTheme="majorBidi" w:cstheme="majorBidi"/>
                <w:b/>
                <w:bCs/>
                <w:sz w:val="20"/>
                <w:szCs w:val="20"/>
              </w:rPr>
              <w:t>*</w:t>
            </w:r>
            <w:proofErr w:type="gramEnd"/>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 xml:space="preserve">The program monitors the commitment of the teaching staff to the learning and teaching strategies and assessment methods included in the program and course specifications through specific </w:t>
            </w:r>
            <w:proofErr w:type="gramStart"/>
            <w:r w:rsidRPr="00C65C8B">
              <w:rPr>
                <w:rFonts w:asciiTheme="majorBidi" w:hAnsiTheme="majorBidi" w:cstheme="majorBidi"/>
                <w:b/>
                <w:bCs/>
                <w:sz w:val="20"/>
                <w:szCs w:val="20"/>
              </w:rPr>
              <w:t>mechanisms.</w:t>
            </w:r>
            <w:r>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At the beginning of the course or educational activities (including research , applied, and field activities), students are provided with comprehensive information including: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applies mechanisms to support and stimulate excellence in teaching and scientific </w:t>
            </w:r>
            <w:proofErr w:type="gramStart"/>
            <w:r w:rsidRPr="00BE1EB5">
              <w:rPr>
                <w:rFonts w:asciiTheme="majorBidi" w:hAnsiTheme="majorBidi" w:cstheme="majorBidi"/>
                <w:sz w:val="20"/>
                <w:szCs w:val="20"/>
              </w:rPr>
              <w:lastRenderedPageBreak/>
              <w:t>supervision, and</w:t>
            </w:r>
            <w:proofErr w:type="gramEnd"/>
            <w:r w:rsidRPr="00BE1EB5">
              <w:rPr>
                <w:rFonts w:asciiTheme="majorBidi" w:hAnsiTheme="majorBidi" w:cstheme="majorBidi"/>
                <w:sz w:val="20"/>
                <w:szCs w:val="20"/>
              </w:rPr>
              <w:t xml:space="preserve">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1"/>
        <w:rPr>
          <w:lang w:bidi="ar-LB"/>
        </w:rPr>
      </w:pPr>
      <w:bookmarkStart w:id="26" w:name="_Toc532385890"/>
      <w:bookmarkStart w:id="27"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1"/>
        <w:rPr>
          <w:rtl/>
          <w:lang w:bidi="ar-EG"/>
        </w:rPr>
      </w:pPr>
      <w:bookmarkStart w:id="28" w:name="_Toc534615603"/>
      <w:r w:rsidRPr="004A133C">
        <w:rPr>
          <w:lang w:bidi="ar-LB"/>
        </w:rPr>
        <w:lastRenderedPageBreak/>
        <w:t xml:space="preserve">4. </w:t>
      </w:r>
      <w:bookmarkEnd w:id="26"/>
      <w:bookmarkEnd w:id="27"/>
      <w:r w:rsidR="003D24D9" w:rsidRPr="003D24D9">
        <w:rPr>
          <w:lang w:bidi="ar-LB"/>
        </w:rPr>
        <w:t>STUDENTS</w:t>
      </w:r>
      <w:bookmarkEnd w:id="28"/>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 xml:space="preserve">The criteria and requirements for student admissions in the program must be clear and publicly </w:t>
      </w:r>
      <w:proofErr w:type="gramStart"/>
      <w:r w:rsidRPr="003B0CB6">
        <w:rPr>
          <w:rFonts w:ascii="Times New Roman" w:hAnsi="Times New Roman" w:cstheme="majorBidi"/>
          <w:sz w:val="20"/>
          <w:szCs w:val="20"/>
          <w:lang w:bidi="ar-LB"/>
        </w:rPr>
        <w:t>disclosed, and</w:t>
      </w:r>
      <w:proofErr w:type="gramEnd"/>
      <w:r w:rsidRPr="003B0CB6">
        <w:rPr>
          <w:rFonts w:ascii="Times New Roman" w:hAnsi="Times New Roman"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counseling services to its </w:t>
      </w:r>
      <w:proofErr w:type="gramStart"/>
      <w:r w:rsidRPr="003B0CB6">
        <w:rPr>
          <w:rFonts w:ascii="Times New Roman" w:hAnsi="Times New Roman" w:cstheme="majorBidi"/>
          <w:sz w:val="20"/>
          <w:szCs w:val="20"/>
          <w:lang w:bidi="ar-LB"/>
        </w:rPr>
        <w:t>students, and</w:t>
      </w:r>
      <w:proofErr w:type="gramEnd"/>
      <w:r w:rsidRPr="003B0CB6">
        <w:rPr>
          <w:rFonts w:ascii="Times New Roman" w:hAnsi="Times New Roman" w:cstheme="majorBidi"/>
          <w:sz w:val="20"/>
          <w:szCs w:val="20"/>
          <w:lang w:bidi="ar-LB"/>
        </w:rPr>
        <w:t xml:space="preserve">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has approved and publicly disclosed criteria and requirements for the admission and registration of students that are appropriate to the nature of the </w:t>
            </w:r>
            <w:proofErr w:type="gramStart"/>
            <w:r w:rsidRPr="007217A5">
              <w:rPr>
                <w:rFonts w:asciiTheme="majorBidi" w:hAnsiTheme="majorBidi" w:cstheme="majorBidi"/>
                <w:sz w:val="20"/>
                <w:szCs w:val="20"/>
              </w:rPr>
              <w:t>program, and</w:t>
            </w:r>
            <w:proofErr w:type="gramEnd"/>
            <w:r w:rsidRPr="007217A5">
              <w:rPr>
                <w:rFonts w:asciiTheme="majorBidi" w:hAnsiTheme="majorBidi" w:cstheme="majorBidi"/>
                <w:sz w:val="20"/>
                <w:szCs w:val="20"/>
              </w:rPr>
              <w:t xml:space="preserve">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 xml:space="preserve">The program informs students about their rights and duties, the code of conduct, and grievance, complaints, and discipline procedures, using a variety of means; and applies them </w:t>
            </w:r>
            <w:proofErr w:type="gramStart"/>
            <w:r w:rsidRPr="00286F73">
              <w:rPr>
                <w:rFonts w:asciiTheme="majorBidi" w:hAnsiTheme="majorBidi" w:cstheme="majorBidi"/>
                <w:b/>
                <w:bCs/>
                <w:sz w:val="20"/>
                <w:szCs w:val="20"/>
              </w:rPr>
              <w:t>fairly.</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 xml:space="preserve">Students are provided with effective academic, professional, psychological, and social guidance, and counseling services through qualified and sufficient </w:t>
            </w:r>
            <w:proofErr w:type="gramStart"/>
            <w:r w:rsidRPr="00232DEF">
              <w:rPr>
                <w:rFonts w:asciiTheme="majorBidi" w:hAnsiTheme="majorBidi" w:cstheme="majorBidi"/>
                <w:b/>
                <w:bCs/>
                <w:sz w:val="20"/>
                <w:szCs w:val="20"/>
              </w:rPr>
              <w:t>staff.</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 xml:space="preserve">Effective mechanisms are applied to evaluate the adequacy and quality of services provided to students and measure their satisfaction with them; and the results are used for </w:t>
            </w:r>
            <w:proofErr w:type="gramStart"/>
            <w:r w:rsidRPr="00232DEF">
              <w:rPr>
                <w:rFonts w:asciiTheme="majorBidi" w:hAnsiTheme="majorBidi" w:cstheme="majorBidi"/>
                <w:b/>
                <w:bCs/>
                <w:sz w:val="20"/>
                <w:szCs w:val="20"/>
              </w:rPr>
              <w:t>improvement.</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7C18AC8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takes into consideration the special needs of its students (e.g., students with </w:t>
            </w:r>
            <w:r w:rsidR="00675BA5" w:rsidRPr="00675BA5">
              <w:rPr>
                <w:rFonts w:asciiTheme="majorBidi" w:hAnsiTheme="majorBidi" w:cstheme="majorBidi"/>
                <w:sz w:val="20"/>
                <w:szCs w:val="20"/>
              </w:rPr>
              <w:t>disabilities</w:t>
            </w:r>
            <w:r w:rsidR="00675BA5">
              <w:rPr>
                <w:rFonts w:asciiTheme="majorBidi" w:hAnsiTheme="majorBidi" w:cstheme="majorBidi"/>
                <w:sz w:val="20"/>
                <w:szCs w:val="20"/>
              </w:rPr>
              <w:t xml:space="preserve"> </w:t>
            </w:r>
            <w:r w:rsidRPr="007217A5">
              <w:rPr>
                <w:rFonts w:asciiTheme="majorBidi" w:hAnsiTheme="majorBidi" w:cstheme="majorBidi"/>
                <w:sz w:val="20"/>
                <w:szCs w:val="20"/>
              </w:rPr>
              <w:t>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lastRenderedPageBreak/>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29" w:name="_Toc532385891"/>
      <w:bookmarkStart w:id="30" w:name="_Toc532386008"/>
      <w:r w:rsidRPr="004A133C">
        <w:rPr>
          <w:rFonts w:ascii="Times New Roman" w:hAnsi="Times New Roman"/>
          <w:lang w:bidi="ar-LB"/>
        </w:rPr>
        <w:br w:type="page"/>
      </w:r>
    </w:p>
    <w:p w14:paraId="759AB3C1" w14:textId="15473089" w:rsidR="00CD67AB" w:rsidRPr="004A133C" w:rsidRDefault="00CD67AB" w:rsidP="00865CFF">
      <w:pPr>
        <w:pStyle w:val="1"/>
        <w:rPr>
          <w:rtl/>
          <w:lang w:bidi="ar-EG"/>
        </w:rPr>
      </w:pPr>
      <w:bookmarkStart w:id="31" w:name="_Toc534615604"/>
      <w:r w:rsidRPr="004A133C">
        <w:rPr>
          <w:lang w:val="en-US" w:bidi="ar-LB"/>
        </w:rPr>
        <w:lastRenderedPageBreak/>
        <w:t xml:space="preserve">5. </w:t>
      </w:r>
      <w:bookmarkEnd w:id="29"/>
      <w:bookmarkEnd w:id="30"/>
      <w:bookmarkEnd w:id="31"/>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 xml:space="preserve">The program must have </w:t>
      </w:r>
      <w:proofErr w:type="gramStart"/>
      <w:r w:rsidRPr="00EB762C">
        <w:rPr>
          <w:rFonts w:ascii="Times New Roman" w:hAnsi="Times New Roman" w:cstheme="majorBidi"/>
          <w:sz w:val="20"/>
          <w:szCs w:val="20"/>
          <w:lang w:bidi="ar-LB"/>
        </w:rPr>
        <w:t>sufficient numbers of</w:t>
      </w:r>
      <w:proofErr w:type="gramEnd"/>
      <w:r w:rsidRPr="00EB762C">
        <w:rPr>
          <w:rFonts w:ascii="Times New Roman" w:hAnsi="Times New Roman" w:cstheme="majorBidi"/>
          <w:sz w:val="20"/>
          <w:szCs w:val="20"/>
          <w:lang w:bidi="ar-LB"/>
        </w:rPr>
        <w:t xml:space="preserve">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 xml:space="preserve">The program applies appropriate recruitment policies and procedures to attract faculty </w:t>
            </w:r>
            <w:proofErr w:type="gramStart"/>
            <w:r w:rsidRPr="00534272">
              <w:rPr>
                <w:rFonts w:asciiTheme="majorBidi" w:hAnsiTheme="majorBidi" w:cstheme="majorBidi"/>
                <w:sz w:val="20"/>
                <w:szCs w:val="20"/>
              </w:rPr>
              <w:t>members, and</w:t>
            </w:r>
            <w:proofErr w:type="gramEnd"/>
            <w:r w:rsidRPr="00534272">
              <w:rPr>
                <w:rFonts w:asciiTheme="majorBidi" w:hAnsiTheme="majorBidi" w:cstheme="majorBidi"/>
                <w:sz w:val="20"/>
                <w:szCs w:val="20"/>
              </w:rPr>
              <w:t xml:space="preserve">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 xml:space="preserve">The program has a sufficient number of faculty members, including all areas of specialization in the </w:t>
            </w:r>
            <w:proofErr w:type="gramStart"/>
            <w:r w:rsidRPr="00232DEF">
              <w:rPr>
                <w:rFonts w:asciiTheme="majorBidi" w:hAnsiTheme="majorBidi" w:cstheme="majorBidi"/>
                <w:b/>
                <w:bCs/>
                <w:sz w:val="20"/>
                <w:szCs w:val="20"/>
              </w:rPr>
              <w:t>program</w:t>
            </w:r>
            <w:r w:rsidR="00232DEF">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 xml:space="preserve">The faculty members have the necessary competency (e.g., qualifications, certificates, professional licenses, experience required), and effective teaching skills; and appropriate mechanisms are applied for </w:t>
            </w:r>
            <w:proofErr w:type="gramStart"/>
            <w:r w:rsidRPr="00232DEF">
              <w:rPr>
                <w:rFonts w:asciiTheme="majorBidi" w:hAnsiTheme="majorBidi" w:cstheme="majorBidi"/>
                <w:b/>
                <w:bCs/>
                <w:sz w:val="20"/>
                <w:szCs w:val="20"/>
              </w:rPr>
              <w:t>verification.</w:t>
            </w:r>
            <w:r w:rsidR="00232DEF">
              <w:rPr>
                <w:rFonts w:asciiTheme="majorBidi" w:hAnsiTheme="majorBidi" w:cstheme="majorBidi"/>
                <w:b/>
                <w:bCs/>
                <w:sz w:val="20"/>
                <w:szCs w:val="20"/>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1"/>
        <w:rPr>
          <w:rtl/>
          <w:lang w:bidi="ar-EG"/>
        </w:rPr>
      </w:pPr>
      <w:bookmarkStart w:id="32" w:name="_Toc532385892"/>
      <w:bookmarkStart w:id="33" w:name="_Toc532386009"/>
      <w:bookmarkStart w:id="34" w:name="_Toc534615605"/>
      <w:r w:rsidRPr="004A133C">
        <w:rPr>
          <w:lang w:bidi="ar-LB"/>
        </w:rPr>
        <w:lastRenderedPageBreak/>
        <w:t xml:space="preserve">6. </w:t>
      </w:r>
      <w:bookmarkEnd w:id="32"/>
      <w:bookmarkEnd w:id="33"/>
      <w:bookmarkEnd w:id="34"/>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 xml:space="preserve">The program has specialized electronic resources (e.g., digital references, multimedia, software), and appropriate databases and electronic systems that allow beneficiaries to access the information, research materials, and scientific journals from within or outside the </w:t>
            </w:r>
            <w:proofErr w:type="gramStart"/>
            <w:r w:rsidRPr="0031347B">
              <w:rPr>
                <w:rFonts w:asciiTheme="majorBidi" w:hAnsiTheme="majorBidi" w:cstheme="majorBidi"/>
                <w:b/>
                <w:bCs/>
                <w:sz w:val="20"/>
                <w:szCs w:val="20"/>
              </w:rPr>
              <w:t>institution.</w:t>
            </w:r>
            <w:r w:rsidR="0031347B">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The program has laboratories, computer and technology equipment, </w:t>
            </w:r>
            <w:proofErr w:type="gramStart"/>
            <w:r w:rsidRPr="0031347B">
              <w:rPr>
                <w:rFonts w:asciiTheme="majorBidi" w:hAnsiTheme="majorBidi" w:cstheme="majorBidi"/>
                <w:b/>
                <w:bCs/>
                <w:sz w:val="20"/>
                <w:szCs w:val="20"/>
              </w:rPr>
              <w:t>and  materials</w:t>
            </w:r>
            <w:proofErr w:type="gramEnd"/>
            <w:r w:rsidRPr="0031347B">
              <w:rPr>
                <w:rFonts w:asciiTheme="majorBidi" w:hAnsiTheme="majorBidi" w:cstheme="majorBidi"/>
                <w:b/>
                <w:bCs/>
                <w:sz w:val="20"/>
                <w:szCs w:val="20"/>
              </w:rPr>
              <w:t xml:space="preserve"> that are suitable to the specialty and sufficient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All general and occupational health and safety requirements are available in the facilities, equipment and educational and research </w:t>
            </w:r>
            <w:proofErr w:type="gramStart"/>
            <w:r w:rsidRPr="0031347B">
              <w:rPr>
                <w:rFonts w:asciiTheme="majorBidi" w:hAnsiTheme="majorBidi" w:cstheme="majorBidi"/>
                <w:b/>
                <w:bCs/>
                <w:sz w:val="20"/>
                <w:szCs w:val="20"/>
              </w:rPr>
              <w:t>activities.</w:t>
            </w:r>
            <w:r w:rsidR="0031347B">
              <w:rPr>
                <w:rFonts w:asciiTheme="majorBidi" w:hAnsiTheme="majorBidi" w:cstheme="majorBidi"/>
                <w:b/>
                <w:bCs/>
                <w:sz w:val="20"/>
                <w:szCs w:val="20"/>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w:t>
            </w:r>
            <w:proofErr w:type="gramStart"/>
            <w:r w:rsidRPr="00012BEE">
              <w:rPr>
                <w:rFonts w:asciiTheme="majorBidi" w:hAnsiTheme="majorBidi" w:cstheme="majorBidi"/>
                <w:sz w:val="20"/>
                <w:szCs w:val="20"/>
              </w:rPr>
              <w:t>the sufficient number of</w:t>
            </w:r>
            <w:proofErr w:type="gramEnd"/>
            <w:r w:rsidRPr="00012BEE">
              <w:rPr>
                <w:rFonts w:asciiTheme="majorBidi" w:hAnsiTheme="majorBidi" w:cstheme="majorBidi"/>
                <w:sz w:val="20"/>
                <w:szCs w:val="20"/>
              </w:rPr>
              <w:t xml:space="preserve">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478BC84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w:t>
            </w:r>
            <w:r w:rsidR="00675BA5" w:rsidRPr="00675BA5">
              <w:rPr>
                <w:rFonts w:asciiTheme="majorBidi" w:hAnsiTheme="majorBidi" w:cstheme="majorBidi"/>
                <w:sz w:val="20"/>
                <w:szCs w:val="20"/>
              </w:rPr>
              <w:t>disabilities</w:t>
            </w:r>
            <w:r w:rsidRPr="00012BEE">
              <w:rPr>
                <w:rFonts w:asciiTheme="majorBidi" w:hAnsiTheme="majorBidi" w:cstheme="majorBidi"/>
                <w:sz w:val="20"/>
                <w:szCs w:val="20"/>
              </w:rPr>
              <w:t xml:space="preserve">.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The program must adhere to the implementation of the institutional plan for research and play a prominent role in encouraging faculty members and students for the production of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Specific academic and administrative procedures for the approval of scientific theses and research projects are applied in the program within an appropriate time </w:t>
            </w:r>
            <w:proofErr w:type="gramStart"/>
            <w:r w:rsidRPr="001306B1">
              <w:rPr>
                <w:rFonts w:asciiTheme="majorBidi" w:hAnsiTheme="majorBidi" w:cstheme="majorBidi"/>
                <w:b/>
                <w:bCs/>
                <w:sz w:val="20"/>
                <w:szCs w:val="20"/>
              </w:rPr>
              <w:t>frame.</w:t>
            </w:r>
            <w:r w:rsidR="001306B1">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 xml:space="preserve">The program has clear, </w:t>
            </w:r>
            <w:proofErr w:type="gramStart"/>
            <w:r w:rsidRPr="003D480A">
              <w:rPr>
                <w:rFonts w:asciiTheme="majorBidi" w:eastAsiaTheme="minorEastAsia" w:hAnsiTheme="majorBidi" w:cstheme="majorBidi"/>
                <w:sz w:val="20"/>
                <w:szCs w:val="20"/>
              </w:rPr>
              <w:t>publicized</w:t>
            </w:r>
            <w:proofErr w:type="gramEnd"/>
            <w:r w:rsidRPr="003D480A">
              <w:rPr>
                <w:rFonts w:asciiTheme="majorBidi" w:eastAsiaTheme="minorEastAsia" w:hAnsiTheme="majorBidi" w:cstheme="majorBidi"/>
                <w:sz w:val="20"/>
                <w:szCs w:val="20"/>
              </w:rPr>
              <w:t xml:space="preserve">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applies specific mechanisms to ensure the follow-up and efficiency of scientific supervision of theses, research and projects, and the feedback is used for </w:t>
            </w:r>
            <w:proofErr w:type="gramStart"/>
            <w:r w:rsidRPr="001306B1">
              <w:rPr>
                <w:rFonts w:asciiTheme="majorBidi" w:hAnsiTheme="majorBidi" w:cstheme="majorBidi"/>
                <w:b/>
                <w:bCs/>
                <w:sz w:val="20"/>
                <w:szCs w:val="20"/>
              </w:rPr>
              <w:t>improvement.</w:t>
            </w:r>
            <w:r w:rsidR="001306B1">
              <w:rPr>
                <w:rFonts w:asciiTheme="majorBidi" w:hAnsiTheme="majorBidi" w:cstheme="majorBidi"/>
                <w:b/>
                <w:bCs/>
                <w:sz w:val="20"/>
                <w:szCs w:val="20"/>
                <w:lang w:bidi="ar-EG"/>
              </w:rPr>
              <w:t>*</w:t>
            </w:r>
            <w:proofErr w:type="gramEnd"/>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w:t>
            </w:r>
            <w:proofErr w:type="gramStart"/>
            <w:r w:rsidRPr="001306B1">
              <w:rPr>
                <w:rFonts w:asciiTheme="majorBidi" w:hAnsiTheme="majorBidi" w:cstheme="majorBidi"/>
                <w:b/>
                <w:bCs/>
                <w:sz w:val="20"/>
                <w:szCs w:val="20"/>
              </w:rPr>
              <w:t>regulations  and</w:t>
            </w:r>
            <w:proofErr w:type="gramEnd"/>
            <w:r w:rsidRPr="001306B1">
              <w:rPr>
                <w:rFonts w:asciiTheme="majorBidi" w:hAnsiTheme="majorBidi" w:cstheme="majorBidi"/>
                <w:b/>
                <w:bCs/>
                <w:sz w:val="20"/>
                <w:szCs w:val="20"/>
              </w:rPr>
              <w:t xml:space="preserve">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354D" w14:textId="77777777" w:rsidR="00B73E9B" w:rsidRDefault="00B73E9B" w:rsidP="00141069">
      <w:pPr>
        <w:spacing w:after="0" w:line="240" w:lineRule="auto"/>
      </w:pPr>
      <w:r>
        <w:separator/>
      </w:r>
    </w:p>
  </w:endnote>
  <w:endnote w:type="continuationSeparator" w:id="0">
    <w:p w14:paraId="5D1FDD31" w14:textId="77777777" w:rsidR="00B73E9B" w:rsidRDefault="00B73E9B"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Content>
      <w:p w14:paraId="4738FFE7" w14:textId="17003E92" w:rsidR="000266EC" w:rsidRPr="00A77002" w:rsidRDefault="00F148B4" w:rsidP="00F148B4">
        <w:pPr>
          <w:pStyle w:val="ab"/>
          <w:rPr>
            <w:rStyle w:val="ac"/>
            <w:rtl/>
          </w:rPr>
        </w:pPr>
        <w:r>
          <w:rPr>
            <w:noProof/>
          </w:rPr>
          <w:drawing>
            <wp:anchor distT="0" distB="0" distL="114300" distR="114300" simplePos="0" relativeHeight="251660288" behindDoc="1" locked="0" layoutInCell="1" allowOverlap="1" wp14:anchorId="5B9108A0" wp14:editId="451E77AE">
              <wp:simplePos x="0" y="0"/>
              <wp:positionH relativeFrom="column">
                <wp:posOffset>-718820</wp:posOffset>
              </wp:positionH>
              <wp:positionV relativeFrom="paragraph">
                <wp:posOffset>-374015</wp:posOffset>
              </wp:positionV>
              <wp:extent cx="7308850" cy="761365"/>
              <wp:effectExtent l="0" t="0" r="635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63AA0F" wp14:editId="7F6D2FA4">
                  <wp:simplePos x="0" y="0"/>
                  <wp:positionH relativeFrom="column">
                    <wp:posOffset>-592455</wp:posOffset>
                  </wp:positionH>
                  <wp:positionV relativeFrom="paragraph">
                    <wp:posOffset>-193040</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DCA4848" w14:textId="77777777"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AA0F" id="_x0000_t202" coordsize="21600,21600" o:spt="202" path="m,l,21600r21600,l21600,xe">
                  <v:stroke joinstyle="miter"/>
                  <v:path gradientshapeok="t" o:connecttype="rect"/>
                </v:shapetype>
                <v:shape id="Text Box 5" o:spid="_x0000_s1026" type="#_x0000_t202" style="position:absolute;left:0;text-align:left;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DVA8UcMQIAAFoEAAAOAAAAAAAAAAAAAAAAAC4C&#10;AABkcnMvZTJvRG9jLnhtbFBLAQItABQABgAIAAAAIQDoY/Ix3gAAAAkBAAAPAAAAAAAAAAAAAAAA&#10;AIsEAABkcnMvZG93bnJldi54bWxQSwUGAAAAAAQABADzAAAAlgUAAAAA&#10;" filled="f" stroked="f" strokeweight=".5pt">
                  <v:textbox>
                    <w:txbxContent>
                      <w:p w14:paraId="6DCA4848" w14:textId="77777777" w:rsidR="00F148B4" w:rsidRPr="00705C7E" w:rsidRDefault="00F148B4" w:rsidP="00F148B4">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F2468" w14:textId="77777777" w:rsidR="00B73E9B" w:rsidRDefault="00B73E9B" w:rsidP="00141069">
      <w:pPr>
        <w:spacing w:after="0" w:line="240" w:lineRule="auto"/>
      </w:pPr>
      <w:r>
        <w:separator/>
      </w:r>
    </w:p>
  </w:footnote>
  <w:footnote w:type="continuationSeparator" w:id="0">
    <w:p w14:paraId="7B2097E8" w14:textId="77777777" w:rsidR="00B73E9B" w:rsidRDefault="00B73E9B"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0266EC" w:rsidRDefault="000266EC">
    <w:pPr>
      <w:pStyle w:val="aa"/>
    </w:pPr>
    <w:r>
      <w:rPr>
        <w:noProof/>
      </w:rPr>
      <w:drawing>
        <wp:anchor distT="0" distB="0" distL="114300" distR="114300" simplePos="0" relativeHeight="251656192" behindDoc="1" locked="0" layoutInCell="1" allowOverlap="1" wp14:anchorId="02782F36" wp14:editId="1BD1191E">
          <wp:simplePos x="0" y="0"/>
          <wp:positionH relativeFrom="column">
            <wp:posOffset>-645662</wp:posOffset>
          </wp:positionH>
          <wp:positionV relativeFrom="paragraph">
            <wp:posOffset>-172991</wp:posOffset>
          </wp:positionV>
          <wp:extent cx="7380610" cy="10437611"/>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0" cy="10437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5BA5"/>
    <w:rsid w:val="00676A6B"/>
    <w:rsid w:val="00677E18"/>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3E9B"/>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01F57"/>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48B4"/>
    <w:rsid w:val="00F1554B"/>
    <w:rsid w:val="00F21C21"/>
    <w:rsid w:val="00F2496B"/>
    <w:rsid w:val="00F26336"/>
    <w:rsid w:val="00F30818"/>
    <w:rsid w:val="00F31D0B"/>
    <w:rsid w:val="00F329E4"/>
    <w:rsid w:val="00F35837"/>
    <w:rsid w:val="00F35AC1"/>
    <w:rsid w:val="00F4111F"/>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5D9"/>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322C94792FF7D14DB7E22C8ABB3B09F9" ma:contentTypeVersion="1" ma:contentTypeDescription="إنشاء مستند جديد." ma:contentTypeScope="" ma:versionID="5c0244b090d33bdaeaa89a8a590a0f01">
  <xsd:schema xmlns:xsd="http://www.w3.org/2001/XMLSchema" xmlns:xs="http://www.w3.org/2001/XMLSchema" xmlns:p="http://schemas.microsoft.com/office/2006/metadata/properties" xmlns:ns2="5eddc923-4628-4a4e-859d-a4df13561942" targetNamespace="http://schemas.microsoft.com/office/2006/metadata/properties" ma:root="true" ma:fieldsID="fd2cb16efa80f2dc7c9baaa4cbaf7e8b" ns2:_="">
    <xsd:import namespace="5eddc923-4628-4a4e-859d-a4df135619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c923-4628-4a4e-859d-a4df13561942"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35B1B-0AEA-4A91-82C4-5FB22D4630C1}"/>
</file>

<file path=customXml/itemProps2.xml><?xml version="1.0" encoding="utf-8"?>
<ds:datastoreItem xmlns:ds="http://schemas.openxmlformats.org/officeDocument/2006/customXml" ds:itemID="{A0926B09-1F5F-497F-8D53-9E25B274FF1E}"/>
</file>

<file path=customXml/itemProps3.xml><?xml version="1.0" encoding="utf-8"?>
<ds:datastoreItem xmlns:ds="http://schemas.openxmlformats.org/officeDocument/2006/customXml" ds:itemID="{428DD03F-CCDE-4C6A-9CFE-4BF2394A2F26}"/>
</file>

<file path=customXml/itemProps4.xml><?xml version="1.0" encoding="utf-8"?>
<ds:datastoreItem xmlns:ds="http://schemas.openxmlformats.org/officeDocument/2006/customXml" ds:itemID="{9E5D0E3A-703A-4B53-A11F-F3C4FD0291A7}"/>
</file>

<file path=docProps/app.xml><?xml version="1.0" encoding="utf-8"?>
<Properties xmlns="http://schemas.openxmlformats.org/officeDocument/2006/extended-properties" xmlns:vt="http://schemas.openxmlformats.org/officeDocument/2006/docPropsVTypes">
  <Template>Normal</Template>
  <TotalTime>494</TotalTime>
  <Pages>1</Pages>
  <Words>7305</Words>
  <Characters>41645</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65</cp:revision>
  <cp:lastPrinted>2020-05-07T14:50:00Z</cp:lastPrinted>
  <dcterms:created xsi:type="dcterms:W3CDTF">2019-01-28T09:20:00Z</dcterms:created>
  <dcterms:modified xsi:type="dcterms:W3CDTF">2020-05-07T14:50:00Z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0x010100322C94792FF7D14DB7E22C8ABB3B09F9</vt:lpwstr>
  </property>
</Properties>
</file>